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1D4C" w14:textId="16382531" w:rsidR="00F521FD" w:rsidRPr="007A198D" w:rsidRDefault="00413FEC" w:rsidP="00413FEC">
      <w:pPr>
        <w:jc w:val="center"/>
        <w:rPr>
          <w:rFonts w:asciiTheme="majorHAnsi" w:hAnsiTheme="majorHAnsi"/>
          <w:b/>
          <w:sz w:val="28"/>
          <w:szCs w:val="28"/>
        </w:rPr>
      </w:pPr>
      <w:bookmarkStart w:id="0" w:name="_GoBack"/>
      <w:bookmarkEnd w:id="0"/>
      <w:r w:rsidRPr="007A198D">
        <w:rPr>
          <w:rFonts w:asciiTheme="majorHAnsi" w:hAnsiTheme="majorHAnsi"/>
          <w:b/>
          <w:sz w:val="28"/>
          <w:szCs w:val="28"/>
        </w:rPr>
        <w:t>Validity</w:t>
      </w:r>
      <w:r w:rsidR="007072CB">
        <w:rPr>
          <w:rFonts w:asciiTheme="majorHAnsi" w:hAnsiTheme="majorHAnsi"/>
          <w:b/>
          <w:sz w:val="28"/>
          <w:szCs w:val="28"/>
        </w:rPr>
        <w:t xml:space="preserve"> Crosswalk</w:t>
      </w:r>
    </w:p>
    <w:p w14:paraId="7BDED4FB" w14:textId="77777777" w:rsidR="00413FEC" w:rsidRPr="007A198D" w:rsidRDefault="00413FEC">
      <w:pPr>
        <w:rPr>
          <w:rFonts w:asciiTheme="majorHAnsi" w:hAnsiTheme="majorHAnsi"/>
          <w:sz w:val="22"/>
          <w:szCs w:val="22"/>
        </w:rPr>
      </w:pPr>
    </w:p>
    <w:p w14:paraId="2E9DA270" w14:textId="6987678B" w:rsidR="00413FEC" w:rsidRPr="007A198D" w:rsidRDefault="00413FEC">
      <w:pPr>
        <w:rPr>
          <w:rFonts w:asciiTheme="majorHAnsi" w:hAnsiTheme="majorHAnsi"/>
          <w:sz w:val="22"/>
          <w:szCs w:val="22"/>
        </w:rPr>
      </w:pPr>
      <w:r w:rsidRPr="007A198D">
        <w:rPr>
          <w:rFonts w:asciiTheme="majorHAnsi" w:hAnsiTheme="majorHAnsi"/>
          <w:sz w:val="22"/>
          <w:szCs w:val="22"/>
        </w:rPr>
        <w:t>Existing assessment and evaluative models that are widely accepted as being valid were used in the development of assessments used to collect data in support of the programs in the College of Education.  Those used most frequently were the InTASC Standards</w:t>
      </w:r>
      <w:r w:rsidR="007A198D" w:rsidRPr="007A198D">
        <w:rPr>
          <w:rFonts w:asciiTheme="majorHAnsi" w:hAnsiTheme="majorHAnsi"/>
          <w:sz w:val="22"/>
          <w:szCs w:val="22"/>
          <w:vertAlign w:val="superscript"/>
        </w:rPr>
        <w:t>1</w:t>
      </w:r>
      <w:r w:rsidRPr="007A198D">
        <w:rPr>
          <w:rFonts w:asciiTheme="majorHAnsi" w:hAnsiTheme="majorHAnsi"/>
          <w:sz w:val="22"/>
          <w:szCs w:val="22"/>
        </w:rPr>
        <w:t xml:space="preserve"> and the Danielson Framework</w:t>
      </w:r>
      <w:r w:rsidR="007A198D" w:rsidRPr="007A198D">
        <w:rPr>
          <w:rFonts w:asciiTheme="majorHAnsi" w:hAnsiTheme="majorHAnsi"/>
          <w:sz w:val="22"/>
          <w:szCs w:val="22"/>
          <w:vertAlign w:val="superscript"/>
        </w:rPr>
        <w:t>2</w:t>
      </w:r>
      <w:r w:rsidRPr="007A198D">
        <w:rPr>
          <w:rFonts w:asciiTheme="majorHAnsi" w:hAnsiTheme="majorHAnsi"/>
          <w:sz w:val="22"/>
          <w:szCs w:val="22"/>
        </w:rPr>
        <w:t>.  These two documents were used directly in the formulation of the components of the College of Education conceptual framework and in turn, are mirrored in assessments throughout the program.</w:t>
      </w:r>
    </w:p>
    <w:p w14:paraId="706D62E6" w14:textId="77777777" w:rsidR="00153280" w:rsidRPr="007A198D" w:rsidRDefault="00153280">
      <w:pPr>
        <w:rPr>
          <w:rFonts w:asciiTheme="majorHAnsi" w:hAnsiTheme="majorHAnsi"/>
          <w:sz w:val="22"/>
          <w:szCs w:val="22"/>
        </w:rPr>
      </w:pPr>
    </w:p>
    <w:p w14:paraId="7C235D18" w14:textId="77777777" w:rsidR="007A198D" w:rsidRPr="007A198D" w:rsidRDefault="007A198D" w:rsidP="007A198D">
      <w:pPr>
        <w:jc w:val="center"/>
        <w:rPr>
          <w:rFonts w:asciiTheme="majorHAnsi" w:hAnsiTheme="majorHAnsi"/>
          <w:b/>
        </w:rPr>
      </w:pPr>
      <w:r w:rsidRPr="007A198D">
        <w:rPr>
          <w:rFonts w:asciiTheme="majorHAnsi" w:hAnsiTheme="majorHAnsi"/>
          <w:b/>
        </w:rPr>
        <w:t>Alignment Table</w:t>
      </w:r>
    </w:p>
    <w:p w14:paraId="73B75B79" w14:textId="7BDD99C0" w:rsidR="007A198D" w:rsidRPr="007A198D" w:rsidRDefault="007A198D" w:rsidP="007A198D">
      <w:pPr>
        <w:jc w:val="center"/>
        <w:rPr>
          <w:rFonts w:asciiTheme="majorHAnsi" w:hAnsiTheme="majorHAnsi"/>
          <w:sz w:val="22"/>
          <w:szCs w:val="22"/>
        </w:rPr>
      </w:pPr>
      <w:r w:rsidRPr="007A198D">
        <w:rPr>
          <w:rFonts w:asciiTheme="majorHAnsi" w:hAnsiTheme="majorHAnsi"/>
          <w:sz w:val="22"/>
          <w:szCs w:val="22"/>
        </w:rPr>
        <w:t>DSU College of Education Core Values</w:t>
      </w:r>
      <w:r>
        <w:rPr>
          <w:rFonts w:asciiTheme="majorHAnsi" w:hAnsiTheme="majorHAnsi"/>
          <w:sz w:val="22"/>
          <w:szCs w:val="22"/>
        </w:rPr>
        <w:t xml:space="preserve"> (Conceptual Framework)</w:t>
      </w:r>
      <w:r w:rsidRPr="007A198D">
        <w:rPr>
          <w:rFonts w:asciiTheme="majorHAnsi" w:hAnsiTheme="majorHAnsi"/>
          <w:sz w:val="22"/>
          <w:szCs w:val="22"/>
        </w:rPr>
        <w:t xml:space="preserve">, </w:t>
      </w:r>
      <w:r>
        <w:rPr>
          <w:rFonts w:asciiTheme="majorHAnsi" w:hAnsiTheme="majorHAnsi"/>
          <w:sz w:val="22"/>
          <w:szCs w:val="22"/>
        </w:rPr>
        <w:br/>
      </w:r>
      <w:r w:rsidRPr="007A198D">
        <w:rPr>
          <w:rFonts w:asciiTheme="majorHAnsi" w:hAnsiTheme="majorHAnsi"/>
          <w:sz w:val="22"/>
          <w:szCs w:val="22"/>
        </w:rPr>
        <w:t>InTASC</w:t>
      </w:r>
      <w:r>
        <w:rPr>
          <w:rFonts w:asciiTheme="majorHAnsi" w:hAnsiTheme="majorHAnsi"/>
          <w:sz w:val="22"/>
          <w:szCs w:val="22"/>
        </w:rPr>
        <w:t xml:space="preserve"> Standards</w:t>
      </w:r>
      <w:r w:rsidRPr="007A198D">
        <w:rPr>
          <w:rFonts w:asciiTheme="majorHAnsi" w:hAnsiTheme="majorHAnsi"/>
          <w:sz w:val="22"/>
          <w:szCs w:val="22"/>
        </w:rPr>
        <w:t>, and the Danielson Framework for Teaching</w:t>
      </w:r>
    </w:p>
    <w:p w14:paraId="5C3D379A" w14:textId="77777777" w:rsidR="007A198D" w:rsidRPr="007A198D" w:rsidRDefault="007A198D" w:rsidP="007A198D">
      <w:pPr>
        <w:rPr>
          <w:rFonts w:asciiTheme="majorHAnsi" w:hAnsiTheme="majorHAnsi"/>
          <w:sz w:val="22"/>
          <w:szCs w:val="22"/>
        </w:rPr>
      </w:pPr>
    </w:p>
    <w:tbl>
      <w:tblPr>
        <w:tblStyle w:val="TableGrid"/>
        <w:tblW w:w="0" w:type="auto"/>
        <w:tblLook w:val="04A0" w:firstRow="1" w:lastRow="0" w:firstColumn="1" w:lastColumn="0" w:noHBand="0" w:noVBand="1"/>
      </w:tblPr>
      <w:tblGrid>
        <w:gridCol w:w="1050"/>
        <w:gridCol w:w="3280"/>
        <w:gridCol w:w="1924"/>
        <w:gridCol w:w="3322"/>
      </w:tblGrid>
      <w:tr w:rsidR="007A198D" w:rsidRPr="007A198D" w14:paraId="5DF8C53B" w14:textId="77777777" w:rsidTr="007A198D">
        <w:trPr>
          <w:tblHeader/>
        </w:trPr>
        <w:tc>
          <w:tcPr>
            <w:tcW w:w="1152" w:type="dxa"/>
            <w:shd w:val="clear" w:color="auto" w:fill="E0E0E0"/>
            <w:vAlign w:val="center"/>
          </w:tcPr>
          <w:p w14:paraId="338AF885" w14:textId="77777777" w:rsidR="007A198D" w:rsidRPr="007A198D" w:rsidRDefault="007A198D" w:rsidP="007A198D">
            <w:pPr>
              <w:ind w:left="-90" w:right="-54"/>
              <w:jc w:val="center"/>
              <w:rPr>
                <w:rFonts w:asciiTheme="majorHAnsi" w:hAnsiTheme="majorHAnsi"/>
                <w:sz w:val="22"/>
                <w:szCs w:val="22"/>
              </w:rPr>
            </w:pPr>
            <w:r w:rsidRPr="007A198D">
              <w:rPr>
                <w:rFonts w:asciiTheme="majorHAnsi" w:hAnsiTheme="majorHAnsi"/>
                <w:sz w:val="22"/>
                <w:szCs w:val="22"/>
              </w:rPr>
              <w:t>InTASC</w:t>
            </w:r>
            <w:r w:rsidRPr="007A198D">
              <w:rPr>
                <w:rFonts w:asciiTheme="majorHAnsi" w:hAnsiTheme="majorHAnsi"/>
                <w:sz w:val="22"/>
                <w:szCs w:val="22"/>
                <w:vertAlign w:val="superscript"/>
              </w:rPr>
              <w:t>1</w:t>
            </w:r>
            <w:r w:rsidRPr="007A198D">
              <w:rPr>
                <w:rFonts w:asciiTheme="majorHAnsi" w:hAnsiTheme="majorHAnsi"/>
                <w:sz w:val="22"/>
                <w:szCs w:val="22"/>
              </w:rPr>
              <w:t xml:space="preserve"> Principle </w:t>
            </w:r>
          </w:p>
        </w:tc>
        <w:tc>
          <w:tcPr>
            <w:tcW w:w="4716" w:type="dxa"/>
            <w:shd w:val="clear" w:color="auto" w:fill="E0E0E0"/>
            <w:vAlign w:val="center"/>
          </w:tcPr>
          <w:p w14:paraId="756CDD88" w14:textId="77777777" w:rsidR="007A198D" w:rsidRPr="007A198D" w:rsidRDefault="007A198D" w:rsidP="007A198D">
            <w:pPr>
              <w:ind w:left="-90" w:right="-54"/>
              <w:jc w:val="center"/>
              <w:rPr>
                <w:rFonts w:asciiTheme="majorHAnsi" w:hAnsiTheme="majorHAnsi"/>
                <w:sz w:val="22"/>
                <w:szCs w:val="22"/>
              </w:rPr>
            </w:pPr>
            <w:r w:rsidRPr="007A198D">
              <w:rPr>
                <w:rFonts w:asciiTheme="majorHAnsi" w:hAnsiTheme="majorHAnsi"/>
                <w:sz w:val="22"/>
                <w:szCs w:val="22"/>
              </w:rPr>
              <w:t>Description of Teacher Performance</w:t>
            </w:r>
          </w:p>
        </w:tc>
        <w:tc>
          <w:tcPr>
            <w:tcW w:w="2250" w:type="dxa"/>
            <w:shd w:val="clear" w:color="auto" w:fill="E0E0E0"/>
            <w:vAlign w:val="center"/>
          </w:tcPr>
          <w:p w14:paraId="6C7B94BA" w14:textId="77777777" w:rsidR="007A198D" w:rsidRPr="007A198D" w:rsidRDefault="007A198D" w:rsidP="007A198D">
            <w:pPr>
              <w:ind w:left="-90" w:right="-54"/>
              <w:jc w:val="center"/>
              <w:rPr>
                <w:rFonts w:asciiTheme="majorHAnsi" w:hAnsiTheme="majorHAnsi"/>
                <w:sz w:val="22"/>
                <w:szCs w:val="22"/>
              </w:rPr>
            </w:pPr>
            <w:r w:rsidRPr="007A198D">
              <w:rPr>
                <w:rFonts w:asciiTheme="majorHAnsi" w:hAnsiTheme="majorHAnsi"/>
                <w:sz w:val="22"/>
                <w:szCs w:val="22"/>
              </w:rPr>
              <w:t>COE Core Value</w:t>
            </w:r>
          </w:p>
        </w:tc>
        <w:tc>
          <w:tcPr>
            <w:tcW w:w="4860" w:type="dxa"/>
            <w:shd w:val="clear" w:color="auto" w:fill="E0E0E0"/>
            <w:vAlign w:val="center"/>
          </w:tcPr>
          <w:p w14:paraId="5C059A2E" w14:textId="77777777" w:rsidR="007A198D" w:rsidRPr="007A198D" w:rsidRDefault="007A198D" w:rsidP="007A198D">
            <w:pPr>
              <w:ind w:left="-108" w:right="-54" w:firstLine="18"/>
              <w:jc w:val="center"/>
              <w:rPr>
                <w:rFonts w:asciiTheme="majorHAnsi" w:hAnsiTheme="majorHAnsi"/>
                <w:sz w:val="22"/>
                <w:szCs w:val="22"/>
              </w:rPr>
            </w:pPr>
            <w:r w:rsidRPr="007A198D">
              <w:rPr>
                <w:rFonts w:asciiTheme="majorHAnsi" w:hAnsiTheme="majorHAnsi"/>
                <w:sz w:val="22"/>
                <w:szCs w:val="22"/>
              </w:rPr>
              <w:t xml:space="preserve">Danielson Domain and Component </w:t>
            </w:r>
            <w:r w:rsidRPr="007A198D">
              <w:rPr>
                <w:rFonts w:asciiTheme="majorHAnsi" w:hAnsiTheme="majorHAnsi"/>
                <w:sz w:val="22"/>
                <w:szCs w:val="22"/>
                <w:vertAlign w:val="superscript"/>
              </w:rPr>
              <w:t>2</w:t>
            </w:r>
          </w:p>
        </w:tc>
      </w:tr>
      <w:tr w:rsidR="007A198D" w:rsidRPr="007A198D" w14:paraId="0359F377" w14:textId="77777777" w:rsidTr="007A198D">
        <w:trPr>
          <w:cantSplit/>
        </w:trPr>
        <w:tc>
          <w:tcPr>
            <w:tcW w:w="1152" w:type="dxa"/>
          </w:tcPr>
          <w:p w14:paraId="2BB33F34"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1</w:t>
            </w:r>
          </w:p>
        </w:tc>
        <w:tc>
          <w:tcPr>
            <w:tcW w:w="4716" w:type="dxa"/>
          </w:tcPr>
          <w:p w14:paraId="168C6E68"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Learner Development</w:t>
            </w:r>
          </w:p>
          <w:p w14:paraId="24744E52"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2250" w:type="dxa"/>
          </w:tcPr>
          <w:p w14:paraId="1CED5EA8"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Knowledge</w:t>
            </w:r>
          </w:p>
        </w:tc>
        <w:tc>
          <w:tcPr>
            <w:tcW w:w="4860" w:type="dxa"/>
          </w:tcPr>
          <w:p w14:paraId="595515B7"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1: Planning and Preparation</w:t>
            </w:r>
          </w:p>
          <w:p w14:paraId="302F00A6"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1b. Demonstrating Knowledge of Students</w:t>
            </w:r>
          </w:p>
          <w:p w14:paraId="16389AC0"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1c. Setting Instructional Outcomes</w:t>
            </w:r>
          </w:p>
          <w:p w14:paraId="1495854E"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1e: Designing coherent instruction</w:t>
            </w:r>
          </w:p>
          <w:p w14:paraId="4727B4BD"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p>
          <w:p w14:paraId="594D815D"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0D68AA4D"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3c: Engaging students in learning</w:t>
            </w:r>
          </w:p>
        </w:tc>
      </w:tr>
      <w:tr w:rsidR="007A198D" w:rsidRPr="007A198D" w14:paraId="7B18D418" w14:textId="77777777" w:rsidTr="007A198D">
        <w:trPr>
          <w:cantSplit/>
          <w:trHeight w:val="386"/>
        </w:trPr>
        <w:tc>
          <w:tcPr>
            <w:tcW w:w="1152" w:type="dxa"/>
          </w:tcPr>
          <w:p w14:paraId="2CDDC525"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2</w:t>
            </w:r>
          </w:p>
        </w:tc>
        <w:tc>
          <w:tcPr>
            <w:tcW w:w="4716" w:type="dxa"/>
          </w:tcPr>
          <w:p w14:paraId="52E0D6A9"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Learning Differences</w:t>
            </w:r>
          </w:p>
          <w:p w14:paraId="1697F068"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uses understanding of individual differences and diverse cultures and communities to ensure inclusive learning environments that enable each learner to meet high standards.</w:t>
            </w:r>
          </w:p>
        </w:tc>
        <w:tc>
          <w:tcPr>
            <w:tcW w:w="2250" w:type="dxa"/>
          </w:tcPr>
          <w:p w14:paraId="5DEE858B"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Planning and Preparation</w:t>
            </w:r>
          </w:p>
          <w:p w14:paraId="22861571" w14:textId="77777777" w:rsidR="007A198D" w:rsidRPr="007A198D" w:rsidRDefault="007A198D" w:rsidP="007A198D">
            <w:pPr>
              <w:ind w:right="-54"/>
              <w:rPr>
                <w:rFonts w:asciiTheme="majorHAnsi" w:hAnsiTheme="majorHAnsi"/>
                <w:sz w:val="22"/>
                <w:szCs w:val="22"/>
              </w:rPr>
            </w:pPr>
          </w:p>
        </w:tc>
        <w:tc>
          <w:tcPr>
            <w:tcW w:w="4860" w:type="dxa"/>
          </w:tcPr>
          <w:p w14:paraId="0CF151C4"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1: Planning and Preparation</w:t>
            </w:r>
          </w:p>
          <w:p w14:paraId="20DA8B25"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1b. Demonstrating Knowledge of Students</w:t>
            </w:r>
          </w:p>
        </w:tc>
      </w:tr>
      <w:tr w:rsidR="007A198D" w:rsidRPr="007A198D" w14:paraId="01BEB152" w14:textId="77777777" w:rsidTr="007A198D">
        <w:trPr>
          <w:cantSplit/>
        </w:trPr>
        <w:tc>
          <w:tcPr>
            <w:tcW w:w="1152" w:type="dxa"/>
          </w:tcPr>
          <w:p w14:paraId="028D8BC4"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3</w:t>
            </w:r>
          </w:p>
        </w:tc>
        <w:tc>
          <w:tcPr>
            <w:tcW w:w="4716" w:type="dxa"/>
          </w:tcPr>
          <w:p w14:paraId="0B37992D"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Learning Environments</w:t>
            </w:r>
          </w:p>
          <w:p w14:paraId="6EFC04F3"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works with others to create environments that support individual and collaborative learning, and that encourage positive social interaction, active engagement in learning, and self-motivation.</w:t>
            </w:r>
          </w:p>
        </w:tc>
        <w:tc>
          <w:tcPr>
            <w:tcW w:w="2250" w:type="dxa"/>
          </w:tcPr>
          <w:p w14:paraId="5556D88D"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Planning and Preparation</w:t>
            </w:r>
          </w:p>
          <w:p w14:paraId="7FBE74B5" w14:textId="77777777" w:rsidR="007A198D" w:rsidRPr="007A198D" w:rsidRDefault="007A198D" w:rsidP="007A198D">
            <w:pPr>
              <w:ind w:right="-54"/>
              <w:rPr>
                <w:rFonts w:asciiTheme="majorHAnsi" w:hAnsiTheme="majorHAnsi"/>
                <w:sz w:val="22"/>
                <w:szCs w:val="22"/>
              </w:rPr>
            </w:pPr>
          </w:p>
          <w:p w14:paraId="48903BA4"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Instruction and Assessment</w:t>
            </w:r>
          </w:p>
          <w:p w14:paraId="604CCE07" w14:textId="77777777" w:rsidR="007A198D" w:rsidRPr="007A198D" w:rsidRDefault="007A198D" w:rsidP="007A198D">
            <w:pPr>
              <w:ind w:right="-54"/>
              <w:rPr>
                <w:rFonts w:asciiTheme="majorHAnsi" w:hAnsiTheme="majorHAnsi"/>
                <w:sz w:val="22"/>
                <w:szCs w:val="22"/>
              </w:rPr>
            </w:pPr>
          </w:p>
        </w:tc>
        <w:tc>
          <w:tcPr>
            <w:tcW w:w="4860" w:type="dxa"/>
          </w:tcPr>
          <w:p w14:paraId="7D88DF5F"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2: Classroom Environment</w:t>
            </w:r>
          </w:p>
          <w:p w14:paraId="06EE30E2"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2a: Creating an environment of respect and rapport</w:t>
            </w:r>
          </w:p>
          <w:p w14:paraId="7AD5FAD5"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p>
          <w:p w14:paraId="7E04A813"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13B0D3EC"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3c: Engaging students in learning</w:t>
            </w:r>
          </w:p>
        </w:tc>
      </w:tr>
      <w:tr w:rsidR="007A198D" w:rsidRPr="007A198D" w14:paraId="5E55F254" w14:textId="77777777" w:rsidTr="007A198D">
        <w:trPr>
          <w:cantSplit/>
        </w:trPr>
        <w:tc>
          <w:tcPr>
            <w:tcW w:w="1152" w:type="dxa"/>
          </w:tcPr>
          <w:p w14:paraId="0BA54D31"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lastRenderedPageBreak/>
              <w:t>Principle 4</w:t>
            </w:r>
          </w:p>
        </w:tc>
        <w:tc>
          <w:tcPr>
            <w:tcW w:w="4716" w:type="dxa"/>
          </w:tcPr>
          <w:p w14:paraId="5F8EFF55"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Content Knowledge</w:t>
            </w:r>
          </w:p>
          <w:p w14:paraId="0BE648FF"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2250" w:type="dxa"/>
          </w:tcPr>
          <w:p w14:paraId="1C8B2320"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Knowledge</w:t>
            </w:r>
          </w:p>
        </w:tc>
        <w:tc>
          <w:tcPr>
            <w:tcW w:w="4860" w:type="dxa"/>
          </w:tcPr>
          <w:p w14:paraId="20CF36DA"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1: Planning and Preparation</w:t>
            </w:r>
          </w:p>
          <w:p w14:paraId="487813D3"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1a. Demonstrating Knowledge of Content and Pedagogy</w:t>
            </w:r>
          </w:p>
          <w:p w14:paraId="419D5C32"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1e: Designing coherent instruction</w:t>
            </w:r>
          </w:p>
          <w:p w14:paraId="4CE6BC23"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p>
          <w:p w14:paraId="4ACC599D"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1C96C024"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3c: Engaging students in learning</w:t>
            </w:r>
          </w:p>
        </w:tc>
      </w:tr>
      <w:tr w:rsidR="007A198D" w:rsidRPr="007A198D" w14:paraId="022A78E9" w14:textId="77777777" w:rsidTr="007A198D">
        <w:trPr>
          <w:cantSplit/>
        </w:trPr>
        <w:tc>
          <w:tcPr>
            <w:tcW w:w="1152" w:type="dxa"/>
          </w:tcPr>
          <w:p w14:paraId="223E64C6"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5</w:t>
            </w:r>
          </w:p>
        </w:tc>
        <w:tc>
          <w:tcPr>
            <w:tcW w:w="4716" w:type="dxa"/>
          </w:tcPr>
          <w:p w14:paraId="4EACB4C1"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Application of Content</w:t>
            </w:r>
          </w:p>
          <w:p w14:paraId="529F2C20"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understands how to connect concepts and use differing perspectives to engage learners in critical thinking, creativity, and collaborative problem solving related to authentic local and global issues.</w:t>
            </w:r>
          </w:p>
        </w:tc>
        <w:tc>
          <w:tcPr>
            <w:tcW w:w="2250" w:type="dxa"/>
          </w:tcPr>
          <w:p w14:paraId="3F6CA390"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Planning and Preparation</w:t>
            </w:r>
          </w:p>
          <w:p w14:paraId="45CBA048" w14:textId="77777777" w:rsidR="007A198D" w:rsidRPr="007A198D" w:rsidRDefault="007A198D" w:rsidP="007A198D">
            <w:pPr>
              <w:ind w:right="-54"/>
              <w:rPr>
                <w:rFonts w:asciiTheme="majorHAnsi" w:hAnsiTheme="majorHAnsi"/>
                <w:sz w:val="22"/>
                <w:szCs w:val="22"/>
              </w:rPr>
            </w:pPr>
          </w:p>
          <w:p w14:paraId="2FD0C33F"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Instruction and Assessment</w:t>
            </w:r>
          </w:p>
        </w:tc>
        <w:tc>
          <w:tcPr>
            <w:tcW w:w="4860" w:type="dxa"/>
          </w:tcPr>
          <w:p w14:paraId="76DF2099"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68F2902E"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3a. Communicating with Students</w:t>
            </w:r>
          </w:p>
          <w:p w14:paraId="3C9225A1"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3c. Engaging Students in Learning</w:t>
            </w:r>
          </w:p>
          <w:p w14:paraId="4DBA6110"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3f. Demonstrating Flexibility and Responsiveness</w:t>
            </w:r>
          </w:p>
        </w:tc>
      </w:tr>
      <w:tr w:rsidR="007A198D" w:rsidRPr="007A198D" w14:paraId="1B7BE5BB" w14:textId="77777777" w:rsidTr="007A198D">
        <w:trPr>
          <w:cantSplit/>
        </w:trPr>
        <w:tc>
          <w:tcPr>
            <w:tcW w:w="1152" w:type="dxa"/>
          </w:tcPr>
          <w:p w14:paraId="326D2ACF"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6</w:t>
            </w:r>
          </w:p>
        </w:tc>
        <w:tc>
          <w:tcPr>
            <w:tcW w:w="4716" w:type="dxa"/>
          </w:tcPr>
          <w:p w14:paraId="21100877"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Assessment</w:t>
            </w:r>
          </w:p>
          <w:p w14:paraId="7F218FB9"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understands and uses multiple methods of assessment to engage learners in their own growth, to monitor learner progress, and to guide the teacher’s and learner’s decision making.</w:t>
            </w:r>
          </w:p>
        </w:tc>
        <w:tc>
          <w:tcPr>
            <w:tcW w:w="2250" w:type="dxa"/>
          </w:tcPr>
          <w:p w14:paraId="4593ABE3"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Instruction and Assessment</w:t>
            </w:r>
          </w:p>
          <w:p w14:paraId="4D35EAB9" w14:textId="77777777" w:rsidR="007A198D" w:rsidRPr="007A198D" w:rsidRDefault="007A198D" w:rsidP="007A198D">
            <w:pPr>
              <w:ind w:right="-54"/>
              <w:rPr>
                <w:rFonts w:asciiTheme="majorHAnsi" w:hAnsiTheme="majorHAnsi"/>
                <w:sz w:val="22"/>
                <w:szCs w:val="22"/>
              </w:rPr>
            </w:pPr>
          </w:p>
        </w:tc>
        <w:tc>
          <w:tcPr>
            <w:tcW w:w="4860" w:type="dxa"/>
          </w:tcPr>
          <w:p w14:paraId="287A8B15"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1: Planning and Preparation</w:t>
            </w:r>
          </w:p>
          <w:p w14:paraId="0036703C"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1f: Designing student assessments</w:t>
            </w:r>
          </w:p>
          <w:p w14:paraId="437C6BD6"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p>
          <w:p w14:paraId="1741D9DF"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544FFBCE"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3d: Using assessment in instruction</w:t>
            </w:r>
          </w:p>
        </w:tc>
      </w:tr>
      <w:tr w:rsidR="007A198D" w:rsidRPr="007A198D" w14:paraId="05846ADA" w14:textId="77777777" w:rsidTr="007A198D">
        <w:trPr>
          <w:cantSplit/>
        </w:trPr>
        <w:tc>
          <w:tcPr>
            <w:tcW w:w="1152" w:type="dxa"/>
          </w:tcPr>
          <w:p w14:paraId="7B28ECE1"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7</w:t>
            </w:r>
          </w:p>
        </w:tc>
        <w:tc>
          <w:tcPr>
            <w:tcW w:w="4716" w:type="dxa"/>
          </w:tcPr>
          <w:p w14:paraId="6C146B8C"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Planning for Instruction</w:t>
            </w:r>
          </w:p>
          <w:p w14:paraId="666EC4C8"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plans instruction that supports every student in meeting rigorous learning goals by drawing upon knowledge of content areas, curriculum, cross-disciplinary skills, and pedagogy, as well as knowledge of learners and the community context.</w:t>
            </w:r>
          </w:p>
        </w:tc>
        <w:tc>
          <w:tcPr>
            <w:tcW w:w="2250" w:type="dxa"/>
          </w:tcPr>
          <w:p w14:paraId="42800E4A"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Planning and Preparation</w:t>
            </w:r>
          </w:p>
          <w:p w14:paraId="45B0FA5C" w14:textId="77777777" w:rsidR="007A198D" w:rsidRPr="007A198D" w:rsidRDefault="007A198D" w:rsidP="007A198D">
            <w:pPr>
              <w:ind w:right="-54"/>
              <w:rPr>
                <w:rFonts w:asciiTheme="majorHAnsi" w:hAnsiTheme="majorHAnsi"/>
                <w:sz w:val="22"/>
                <w:szCs w:val="22"/>
              </w:rPr>
            </w:pPr>
          </w:p>
        </w:tc>
        <w:tc>
          <w:tcPr>
            <w:tcW w:w="4860" w:type="dxa"/>
          </w:tcPr>
          <w:p w14:paraId="31816E38"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1: Planning and Preparation</w:t>
            </w:r>
          </w:p>
          <w:p w14:paraId="4D6E292B"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1b: Demonstrating knowledge of students</w:t>
            </w:r>
          </w:p>
          <w:p w14:paraId="162E33C3"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1e: Designing coherent instruction</w:t>
            </w:r>
          </w:p>
        </w:tc>
      </w:tr>
      <w:tr w:rsidR="007A198D" w:rsidRPr="007A198D" w14:paraId="41DF3818" w14:textId="77777777" w:rsidTr="007A198D">
        <w:trPr>
          <w:cantSplit/>
        </w:trPr>
        <w:tc>
          <w:tcPr>
            <w:tcW w:w="1152" w:type="dxa"/>
          </w:tcPr>
          <w:p w14:paraId="4403EAB6"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8</w:t>
            </w:r>
          </w:p>
        </w:tc>
        <w:tc>
          <w:tcPr>
            <w:tcW w:w="4716" w:type="dxa"/>
          </w:tcPr>
          <w:p w14:paraId="655026D3"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Instructional Strategies</w:t>
            </w:r>
          </w:p>
          <w:p w14:paraId="4EEE5D45"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understands and uses a variety of instructional strategies to encourage learners to develop deep understanding of content areas and their connections, and to build skills to apply knowledge in meaningful ways.</w:t>
            </w:r>
          </w:p>
        </w:tc>
        <w:tc>
          <w:tcPr>
            <w:tcW w:w="2250" w:type="dxa"/>
          </w:tcPr>
          <w:p w14:paraId="297CFA22"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Planning and Preparation</w:t>
            </w:r>
          </w:p>
          <w:p w14:paraId="3A94AA91" w14:textId="77777777" w:rsidR="007A198D" w:rsidRPr="007A198D" w:rsidRDefault="007A198D" w:rsidP="007A198D">
            <w:pPr>
              <w:ind w:right="-54"/>
              <w:rPr>
                <w:rFonts w:asciiTheme="majorHAnsi" w:hAnsiTheme="majorHAnsi"/>
                <w:sz w:val="22"/>
                <w:szCs w:val="22"/>
              </w:rPr>
            </w:pPr>
          </w:p>
          <w:p w14:paraId="746049B3"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Instruction and Assessment</w:t>
            </w:r>
          </w:p>
          <w:p w14:paraId="2CF84DBE" w14:textId="77777777" w:rsidR="007A198D" w:rsidRPr="007A198D" w:rsidRDefault="007A198D" w:rsidP="007A198D">
            <w:pPr>
              <w:ind w:right="-54"/>
              <w:rPr>
                <w:rFonts w:asciiTheme="majorHAnsi" w:hAnsiTheme="majorHAnsi"/>
                <w:sz w:val="22"/>
                <w:szCs w:val="22"/>
              </w:rPr>
            </w:pPr>
          </w:p>
          <w:p w14:paraId="4CCB3349"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Technology</w:t>
            </w:r>
          </w:p>
        </w:tc>
        <w:tc>
          <w:tcPr>
            <w:tcW w:w="4860" w:type="dxa"/>
          </w:tcPr>
          <w:p w14:paraId="2A7B5961"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3: Instruction</w:t>
            </w:r>
          </w:p>
          <w:p w14:paraId="59209A41"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3b. Using Questioning and Discussion Techniques</w:t>
            </w:r>
          </w:p>
          <w:p w14:paraId="52CA9C69"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3c. Engaging students in learning</w:t>
            </w:r>
          </w:p>
        </w:tc>
      </w:tr>
      <w:tr w:rsidR="007A198D" w:rsidRPr="007A198D" w14:paraId="58CDBDF8" w14:textId="77777777" w:rsidTr="007A198D">
        <w:trPr>
          <w:cantSplit/>
        </w:trPr>
        <w:tc>
          <w:tcPr>
            <w:tcW w:w="1152" w:type="dxa"/>
          </w:tcPr>
          <w:p w14:paraId="2B77C34B"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9</w:t>
            </w:r>
          </w:p>
        </w:tc>
        <w:tc>
          <w:tcPr>
            <w:tcW w:w="4716" w:type="dxa"/>
          </w:tcPr>
          <w:p w14:paraId="2C8BCE2B"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Professional Learning and Ethical Practice</w:t>
            </w:r>
          </w:p>
          <w:p w14:paraId="0A710AC3"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2250" w:type="dxa"/>
          </w:tcPr>
          <w:p w14:paraId="2DB684BA"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Professionalism</w:t>
            </w:r>
          </w:p>
        </w:tc>
        <w:tc>
          <w:tcPr>
            <w:tcW w:w="4860" w:type="dxa"/>
          </w:tcPr>
          <w:p w14:paraId="4E0E9BA7"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4: Professional Responsibilities</w:t>
            </w:r>
          </w:p>
          <w:p w14:paraId="21762578"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4a. Reflecting on Teaching</w:t>
            </w:r>
          </w:p>
          <w:p w14:paraId="4C88313A"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4e. Growing and Developing Professionally</w:t>
            </w:r>
          </w:p>
          <w:p w14:paraId="1FD56699"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4f. Showing Professionalism</w:t>
            </w:r>
          </w:p>
        </w:tc>
      </w:tr>
      <w:tr w:rsidR="007A198D" w:rsidRPr="007A198D" w14:paraId="323EA99C" w14:textId="77777777" w:rsidTr="007A198D">
        <w:trPr>
          <w:cantSplit/>
        </w:trPr>
        <w:tc>
          <w:tcPr>
            <w:tcW w:w="1152" w:type="dxa"/>
          </w:tcPr>
          <w:p w14:paraId="67FDAA62"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Principle 10</w:t>
            </w:r>
          </w:p>
        </w:tc>
        <w:tc>
          <w:tcPr>
            <w:tcW w:w="4716" w:type="dxa"/>
          </w:tcPr>
          <w:p w14:paraId="097E62E6" w14:textId="77777777" w:rsidR="007A198D" w:rsidRPr="007A198D" w:rsidRDefault="007A198D" w:rsidP="007A198D">
            <w:pPr>
              <w:widowControl w:val="0"/>
              <w:autoSpaceDE w:val="0"/>
              <w:autoSpaceDN w:val="0"/>
              <w:adjustRightInd w:val="0"/>
              <w:rPr>
                <w:rFonts w:asciiTheme="majorHAnsi" w:hAnsiTheme="majorHAnsi" w:cs="Arial-BoldMT"/>
                <w:b/>
                <w:bCs/>
                <w:color w:val="552989"/>
                <w:sz w:val="22"/>
                <w:szCs w:val="22"/>
              </w:rPr>
            </w:pPr>
            <w:r w:rsidRPr="007A198D">
              <w:rPr>
                <w:rFonts w:asciiTheme="majorHAnsi" w:hAnsiTheme="majorHAnsi" w:cs="Arial-BoldMT"/>
                <w:b/>
                <w:bCs/>
                <w:color w:val="552989"/>
                <w:sz w:val="22"/>
                <w:szCs w:val="22"/>
              </w:rPr>
              <w:t>Leadership and Collaboration</w:t>
            </w:r>
          </w:p>
          <w:p w14:paraId="50A4B73E" w14:textId="77777777" w:rsidR="007A198D" w:rsidRPr="007A198D" w:rsidRDefault="007A198D" w:rsidP="007A198D">
            <w:pPr>
              <w:widowControl w:val="0"/>
              <w:autoSpaceDE w:val="0"/>
              <w:autoSpaceDN w:val="0"/>
              <w:adjustRightInd w:val="0"/>
              <w:rPr>
                <w:rFonts w:asciiTheme="majorHAnsi" w:hAnsiTheme="majorHAnsi" w:cs="Arial-BoldMT"/>
                <w:color w:val="000000"/>
                <w:sz w:val="22"/>
                <w:szCs w:val="22"/>
              </w:rPr>
            </w:pPr>
            <w:r w:rsidRPr="007A198D">
              <w:rPr>
                <w:rFonts w:asciiTheme="majorHAnsi" w:hAnsiTheme="majorHAnsi" w:cs="Arial-BoldMT"/>
                <w:color w:val="000000"/>
                <w:sz w:val="22"/>
                <w:szCs w:val="22"/>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2250" w:type="dxa"/>
          </w:tcPr>
          <w:p w14:paraId="5A16AD5F" w14:textId="77777777" w:rsidR="007A198D" w:rsidRPr="007A198D" w:rsidRDefault="007A198D" w:rsidP="007A198D">
            <w:pPr>
              <w:ind w:right="-54"/>
              <w:rPr>
                <w:rFonts w:asciiTheme="majorHAnsi" w:hAnsiTheme="majorHAnsi"/>
                <w:sz w:val="22"/>
                <w:szCs w:val="22"/>
              </w:rPr>
            </w:pPr>
            <w:r w:rsidRPr="007A198D">
              <w:rPr>
                <w:rFonts w:asciiTheme="majorHAnsi" w:hAnsiTheme="majorHAnsi"/>
                <w:sz w:val="22"/>
                <w:szCs w:val="22"/>
              </w:rPr>
              <w:t>Professionalism</w:t>
            </w:r>
          </w:p>
        </w:tc>
        <w:tc>
          <w:tcPr>
            <w:tcW w:w="4860" w:type="dxa"/>
          </w:tcPr>
          <w:p w14:paraId="33060C46" w14:textId="77777777" w:rsidR="007A198D" w:rsidRPr="007A198D" w:rsidRDefault="007A198D" w:rsidP="007A198D">
            <w:pPr>
              <w:widowControl w:val="0"/>
              <w:autoSpaceDE w:val="0"/>
              <w:autoSpaceDN w:val="0"/>
              <w:adjustRightInd w:val="0"/>
              <w:rPr>
                <w:rFonts w:asciiTheme="majorHAnsi" w:hAnsiTheme="majorHAnsi" w:cs="Helvetica-Bold"/>
                <w:b/>
                <w:bCs/>
                <w:sz w:val="22"/>
                <w:szCs w:val="22"/>
              </w:rPr>
            </w:pPr>
            <w:r w:rsidRPr="007A198D">
              <w:rPr>
                <w:rFonts w:asciiTheme="majorHAnsi" w:hAnsiTheme="majorHAnsi" w:cs="Helvetica-Bold"/>
                <w:b/>
                <w:bCs/>
                <w:sz w:val="22"/>
                <w:szCs w:val="22"/>
              </w:rPr>
              <w:t>Domain 4: Professional Responsibilities</w:t>
            </w:r>
          </w:p>
          <w:p w14:paraId="0A11AF73"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4c. Communicating with Families</w:t>
            </w:r>
          </w:p>
          <w:p w14:paraId="63849655" w14:textId="77777777" w:rsidR="007A198D" w:rsidRPr="007A198D" w:rsidRDefault="007A198D" w:rsidP="007A198D">
            <w:pPr>
              <w:widowControl w:val="0"/>
              <w:autoSpaceDE w:val="0"/>
              <w:autoSpaceDN w:val="0"/>
              <w:adjustRightInd w:val="0"/>
              <w:rPr>
                <w:rFonts w:asciiTheme="majorHAnsi" w:hAnsiTheme="majorHAnsi" w:cs="Helvetica-Bold"/>
                <w:sz w:val="22"/>
                <w:szCs w:val="22"/>
              </w:rPr>
            </w:pPr>
            <w:r w:rsidRPr="007A198D">
              <w:rPr>
                <w:rFonts w:asciiTheme="majorHAnsi" w:hAnsiTheme="majorHAnsi" w:cs="Helvetica-Bold"/>
                <w:sz w:val="22"/>
                <w:szCs w:val="22"/>
              </w:rPr>
              <w:t>4d. Participating in a Professional Community</w:t>
            </w:r>
          </w:p>
          <w:p w14:paraId="708826A0" w14:textId="77777777" w:rsidR="007A198D" w:rsidRPr="007A198D" w:rsidRDefault="007A198D" w:rsidP="007A198D">
            <w:pPr>
              <w:ind w:right="-54"/>
              <w:rPr>
                <w:rFonts w:asciiTheme="majorHAnsi" w:hAnsiTheme="majorHAnsi"/>
                <w:sz w:val="22"/>
                <w:szCs w:val="22"/>
              </w:rPr>
            </w:pPr>
            <w:r w:rsidRPr="007A198D">
              <w:rPr>
                <w:rFonts w:asciiTheme="majorHAnsi" w:hAnsiTheme="majorHAnsi" w:cs="Helvetica-Bold"/>
                <w:sz w:val="22"/>
                <w:szCs w:val="22"/>
              </w:rPr>
              <w:t>4f: Showing professionalism</w:t>
            </w:r>
          </w:p>
        </w:tc>
      </w:tr>
    </w:tbl>
    <w:p w14:paraId="28FD854A" w14:textId="77777777" w:rsidR="007A198D" w:rsidRDefault="007A198D" w:rsidP="007A198D">
      <w:pPr>
        <w:rPr>
          <w:rFonts w:asciiTheme="majorHAnsi" w:hAnsiTheme="majorHAnsi"/>
          <w:sz w:val="22"/>
          <w:szCs w:val="22"/>
        </w:rPr>
      </w:pPr>
    </w:p>
    <w:p w14:paraId="0A731905" w14:textId="1133EE0E" w:rsidR="008F09F7" w:rsidRDefault="008F09F7" w:rsidP="007A198D">
      <w:pPr>
        <w:rPr>
          <w:rFonts w:asciiTheme="majorHAnsi" w:hAnsiTheme="majorHAnsi"/>
          <w:sz w:val="22"/>
          <w:szCs w:val="22"/>
        </w:rPr>
      </w:pPr>
      <w:r>
        <w:rPr>
          <w:rFonts w:asciiTheme="majorHAnsi" w:hAnsiTheme="majorHAnsi"/>
          <w:sz w:val="22"/>
          <w:szCs w:val="22"/>
        </w:rPr>
        <w:t xml:space="preserve">This fundamental alignment is reflected in all </w:t>
      </w:r>
      <w:r w:rsidR="0029566E">
        <w:rPr>
          <w:rFonts w:asciiTheme="majorHAnsi" w:hAnsiTheme="majorHAnsi"/>
          <w:sz w:val="22"/>
          <w:szCs w:val="22"/>
        </w:rPr>
        <w:t>assessments within the college.  The utilization of the six components of the DSU College of Education Conceptual Framework is found consistently throughout the assessments and data tables in this report.</w:t>
      </w:r>
    </w:p>
    <w:p w14:paraId="101189D9" w14:textId="77777777" w:rsidR="0029566E" w:rsidRDefault="0029566E" w:rsidP="007A198D">
      <w:pPr>
        <w:rPr>
          <w:rFonts w:asciiTheme="majorHAnsi" w:hAnsiTheme="majorHAnsi"/>
          <w:sz w:val="22"/>
          <w:szCs w:val="22"/>
        </w:rPr>
      </w:pPr>
    </w:p>
    <w:p w14:paraId="0BE1F61E" w14:textId="77777777" w:rsidR="0029566E" w:rsidRDefault="0029566E" w:rsidP="007A198D">
      <w:pPr>
        <w:rPr>
          <w:rFonts w:asciiTheme="majorHAnsi" w:hAnsiTheme="majorHAnsi"/>
          <w:sz w:val="22"/>
          <w:szCs w:val="22"/>
        </w:rPr>
      </w:pPr>
    </w:p>
    <w:p w14:paraId="76AB9DC9" w14:textId="77777777" w:rsidR="0029566E" w:rsidRDefault="0029566E" w:rsidP="007A198D">
      <w:pPr>
        <w:rPr>
          <w:rFonts w:asciiTheme="majorHAnsi" w:hAnsiTheme="majorHAnsi"/>
          <w:sz w:val="22"/>
          <w:szCs w:val="22"/>
        </w:rPr>
      </w:pPr>
    </w:p>
    <w:p w14:paraId="30D10D66" w14:textId="77777777" w:rsidR="0029566E" w:rsidRDefault="0029566E" w:rsidP="007A198D">
      <w:pPr>
        <w:rPr>
          <w:rFonts w:asciiTheme="majorHAnsi" w:hAnsiTheme="majorHAnsi"/>
          <w:sz w:val="22"/>
          <w:szCs w:val="22"/>
        </w:rPr>
      </w:pPr>
    </w:p>
    <w:p w14:paraId="4430C7C9" w14:textId="633E04A8" w:rsidR="008F09F7" w:rsidRDefault="008F09F7" w:rsidP="007A198D">
      <w:pPr>
        <w:rPr>
          <w:rFonts w:asciiTheme="majorHAnsi" w:hAnsiTheme="majorHAnsi"/>
          <w:sz w:val="22"/>
          <w:szCs w:val="22"/>
        </w:rPr>
      </w:pPr>
      <w:r>
        <w:rPr>
          <w:rFonts w:asciiTheme="majorHAnsi" w:hAnsiTheme="majorHAnsi"/>
          <w:sz w:val="22"/>
          <w:szCs w:val="22"/>
        </w:rPr>
        <w:t xml:space="preserve">__________  </w:t>
      </w:r>
    </w:p>
    <w:p w14:paraId="7C93910E" w14:textId="77777777" w:rsidR="008F09F7" w:rsidRPr="007A198D" w:rsidRDefault="008F09F7" w:rsidP="007A198D">
      <w:pPr>
        <w:rPr>
          <w:rFonts w:asciiTheme="majorHAnsi" w:hAnsiTheme="majorHAnsi"/>
          <w:sz w:val="22"/>
          <w:szCs w:val="22"/>
        </w:rPr>
      </w:pPr>
    </w:p>
    <w:p w14:paraId="20EF2387" w14:textId="77777777" w:rsidR="007A198D" w:rsidRPr="007A198D" w:rsidRDefault="007A198D" w:rsidP="007A198D">
      <w:pPr>
        <w:widowControl w:val="0"/>
        <w:autoSpaceDE w:val="0"/>
        <w:autoSpaceDN w:val="0"/>
        <w:adjustRightInd w:val="0"/>
        <w:rPr>
          <w:rFonts w:asciiTheme="majorHAnsi" w:hAnsiTheme="majorHAnsi" w:cs="Avenir-Book"/>
          <w:sz w:val="22"/>
          <w:szCs w:val="22"/>
        </w:rPr>
      </w:pPr>
      <w:r w:rsidRPr="007A198D">
        <w:rPr>
          <w:rFonts w:asciiTheme="majorHAnsi" w:hAnsiTheme="majorHAnsi" w:cs="Avenir-Book"/>
          <w:sz w:val="22"/>
          <w:szCs w:val="22"/>
          <w:vertAlign w:val="superscript"/>
        </w:rPr>
        <w:t xml:space="preserve">1 </w:t>
      </w:r>
      <w:r w:rsidRPr="007A198D">
        <w:rPr>
          <w:rFonts w:asciiTheme="majorHAnsi" w:hAnsiTheme="majorHAnsi" w:cs="Avenir-Book"/>
          <w:sz w:val="22"/>
          <w:szCs w:val="22"/>
        </w:rPr>
        <w:t xml:space="preserve">Council of Chief State School Officers. (2013, April). Interstate Teacher Assessment and Support Consortium InTASC </w:t>
      </w:r>
      <w:r w:rsidRPr="007A198D">
        <w:rPr>
          <w:rFonts w:asciiTheme="majorHAnsi" w:hAnsiTheme="majorHAnsi" w:cs="Avenir-Book"/>
          <w:i/>
          <w:iCs/>
          <w:sz w:val="22"/>
          <w:szCs w:val="22"/>
        </w:rPr>
        <w:t>Model Core Teaching Standards and Learning Progressions for Teachers 1.0: A Resource for Ongoing Teacher Development</w:t>
      </w:r>
      <w:r w:rsidRPr="007A198D">
        <w:rPr>
          <w:rFonts w:asciiTheme="majorHAnsi" w:hAnsiTheme="majorHAnsi" w:cs="Avenir-Book"/>
          <w:sz w:val="22"/>
          <w:szCs w:val="22"/>
        </w:rPr>
        <w:t>.</w:t>
      </w:r>
      <w:r w:rsidRPr="007A198D">
        <w:rPr>
          <w:rFonts w:asciiTheme="majorHAnsi" w:hAnsiTheme="majorHAnsi" w:cs="Avenir-Book"/>
          <w:i/>
          <w:iCs/>
          <w:sz w:val="22"/>
          <w:szCs w:val="22"/>
        </w:rPr>
        <w:t xml:space="preserve"> </w:t>
      </w:r>
      <w:r w:rsidRPr="007A198D">
        <w:rPr>
          <w:rFonts w:asciiTheme="majorHAnsi" w:hAnsiTheme="majorHAnsi" w:cs="Avenir-Book"/>
          <w:sz w:val="22"/>
          <w:szCs w:val="22"/>
        </w:rPr>
        <w:t>Washington, DC: Author.</w:t>
      </w:r>
    </w:p>
    <w:p w14:paraId="1132BC00" w14:textId="77777777" w:rsidR="007A198D" w:rsidRPr="007A198D" w:rsidRDefault="007A198D" w:rsidP="007A198D">
      <w:pPr>
        <w:widowControl w:val="0"/>
        <w:autoSpaceDE w:val="0"/>
        <w:autoSpaceDN w:val="0"/>
        <w:adjustRightInd w:val="0"/>
        <w:rPr>
          <w:rFonts w:asciiTheme="majorHAnsi" w:hAnsiTheme="majorHAnsi" w:cs="Avenir-Book"/>
          <w:sz w:val="22"/>
          <w:szCs w:val="22"/>
        </w:rPr>
      </w:pPr>
    </w:p>
    <w:p w14:paraId="62630A30" w14:textId="77777777" w:rsidR="007A198D" w:rsidRPr="007A198D" w:rsidRDefault="007A198D" w:rsidP="007A198D">
      <w:pPr>
        <w:widowControl w:val="0"/>
        <w:autoSpaceDE w:val="0"/>
        <w:autoSpaceDN w:val="0"/>
        <w:adjustRightInd w:val="0"/>
        <w:rPr>
          <w:rFonts w:asciiTheme="majorHAnsi" w:hAnsiTheme="majorHAnsi" w:cs="Arial"/>
          <w:b/>
          <w:bCs/>
          <w:color w:val="6D6D6D"/>
          <w:sz w:val="22"/>
          <w:szCs w:val="22"/>
        </w:rPr>
      </w:pPr>
      <w:r w:rsidRPr="007A198D">
        <w:rPr>
          <w:rFonts w:asciiTheme="majorHAnsi" w:hAnsiTheme="majorHAnsi" w:cs="Avenir-Book"/>
          <w:sz w:val="22"/>
          <w:szCs w:val="22"/>
          <w:vertAlign w:val="superscript"/>
        </w:rPr>
        <w:t>2</w:t>
      </w:r>
      <w:r w:rsidRPr="007A198D">
        <w:rPr>
          <w:rFonts w:asciiTheme="majorHAnsi" w:hAnsiTheme="majorHAnsi" w:cs="Avenir-Book"/>
          <w:color w:val="000000" w:themeColor="text1"/>
          <w:sz w:val="22"/>
          <w:szCs w:val="22"/>
          <w:vertAlign w:val="superscript"/>
        </w:rPr>
        <w:t xml:space="preserve"> </w:t>
      </w:r>
      <w:r w:rsidRPr="007A198D">
        <w:rPr>
          <w:rFonts w:asciiTheme="majorHAnsi" w:hAnsiTheme="majorHAnsi" w:cs="Avenir-Book"/>
          <w:color w:val="000000" w:themeColor="text1"/>
          <w:sz w:val="22"/>
          <w:szCs w:val="22"/>
        </w:rPr>
        <w:t xml:space="preserve">Danielson (2014) </w:t>
      </w:r>
      <w:r w:rsidRPr="007A198D">
        <w:rPr>
          <w:rFonts w:asciiTheme="majorHAnsi" w:hAnsiTheme="majorHAnsi" w:cs="TimesNewRomanPSMT"/>
          <w:color w:val="000000" w:themeColor="text1"/>
          <w:sz w:val="22"/>
          <w:szCs w:val="22"/>
        </w:rPr>
        <w:t xml:space="preserve">Correlation between the </w:t>
      </w:r>
      <w:r w:rsidRPr="007A198D">
        <w:rPr>
          <w:rFonts w:asciiTheme="majorHAnsi" w:hAnsiTheme="majorHAnsi" w:cs="TimesNewRomanPSMT"/>
          <w:b/>
          <w:bCs/>
          <w:color w:val="000000" w:themeColor="text1"/>
          <w:sz w:val="22"/>
          <w:szCs w:val="22"/>
        </w:rPr>
        <w:t xml:space="preserve">Danielson Framework for Teaching </w:t>
      </w:r>
      <w:r w:rsidRPr="007A198D">
        <w:rPr>
          <w:rFonts w:asciiTheme="majorHAnsi" w:hAnsiTheme="majorHAnsi" w:cs="TimesNewRomanPSMT"/>
          <w:color w:val="000000" w:themeColor="text1"/>
          <w:sz w:val="22"/>
          <w:szCs w:val="22"/>
        </w:rPr>
        <w:t xml:space="preserve">and the </w:t>
      </w:r>
      <w:r w:rsidRPr="007A198D">
        <w:rPr>
          <w:rFonts w:asciiTheme="majorHAnsi" w:hAnsiTheme="majorHAnsi" w:cs="TimesNewRomanPSMT"/>
          <w:b/>
          <w:bCs/>
          <w:color w:val="000000" w:themeColor="text1"/>
          <w:sz w:val="22"/>
          <w:szCs w:val="22"/>
        </w:rPr>
        <w:t xml:space="preserve">Interstate Teacher Assessment and Support Consortium </w:t>
      </w:r>
      <w:r w:rsidRPr="007A198D">
        <w:rPr>
          <w:rFonts w:asciiTheme="majorHAnsi" w:hAnsiTheme="majorHAnsi" w:cs="TimesNewRomanPSMT"/>
          <w:color w:val="000000" w:themeColor="text1"/>
          <w:sz w:val="22"/>
          <w:szCs w:val="22"/>
        </w:rPr>
        <w:t xml:space="preserve">(InTASC) Standards. Retrieved from the Internet from: </w:t>
      </w:r>
      <w:hyperlink r:id="rId7" w:history="1">
        <w:r w:rsidRPr="007A198D">
          <w:rPr>
            <w:rStyle w:val="Hyperlink"/>
            <w:rFonts w:asciiTheme="majorHAnsi" w:hAnsiTheme="majorHAnsi" w:cs="Arial"/>
            <w:sz w:val="22"/>
            <w:szCs w:val="22"/>
          </w:rPr>
          <w:t>https://</w:t>
        </w:r>
        <w:r w:rsidRPr="007A198D">
          <w:rPr>
            <w:rStyle w:val="Hyperlink"/>
            <w:rFonts w:asciiTheme="majorHAnsi" w:hAnsiTheme="majorHAnsi" w:cs="Arial"/>
            <w:b/>
            <w:bCs/>
            <w:sz w:val="22"/>
            <w:szCs w:val="22"/>
          </w:rPr>
          <w:t>danielson</w:t>
        </w:r>
        <w:r w:rsidRPr="007A198D">
          <w:rPr>
            <w:rStyle w:val="Hyperlink"/>
            <w:rFonts w:asciiTheme="majorHAnsi" w:hAnsiTheme="majorHAnsi" w:cs="Arial"/>
            <w:sz w:val="22"/>
            <w:szCs w:val="22"/>
          </w:rPr>
          <w:t>group.org/download/?download=452</w:t>
        </w:r>
      </w:hyperlink>
      <w:r w:rsidRPr="007A198D">
        <w:rPr>
          <w:rFonts w:asciiTheme="majorHAnsi" w:hAnsiTheme="majorHAnsi" w:cs="Arial"/>
          <w:color w:val="0B5519"/>
          <w:sz w:val="22"/>
          <w:szCs w:val="22"/>
        </w:rPr>
        <w:t xml:space="preserve"> </w:t>
      </w:r>
    </w:p>
    <w:p w14:paraId="0C8ACA81" w14:textId="77777777" w:rsidR="007A198D" w:rsidRPr="007A198D" w:rsidRDefault="007A198D" w:rsidP="007A198D">
      <w:pPr>
        <w:widowControl w:val="0"/>
        <w:autoSpaceDE w:val="0"/>
        <w:autoSpaceDN w:val="0"/>
        <w:adjustRightInd w:val="0"/>
        <w:rPr>
          <w:rFonts w:asciiTheme="majorHAnsi" w:hAnsiTheme="majorHAnsi" w:cs="Avenir-Book"/>
          <w:sz w:val="22"/>
          <w:szCs w:val="22"/>
        </w:rPr>
      </w:pPr>
    </w:p>
    <w:p w14:paraId="43875C07" w14:textId="77777777" w:rsidR="007A198D" w:rsidRPr="007A198D" w:rsidRDefault="007A198D" w:rsidP="007A198D">
      <w:pPr>
        <w:widowControl w:val="0"/>
        <w:autoSpaceDE w:val="0"/>
        <w:autoSpaceDN w:val="0"/>
        <w:adjustRightInd w:val="0"/>
        <w:rPr>
          <w:rFonts w:asciiTheme="majorHAnsi" w:hAnsiTheme="majorHAnsi" w:cs="Avenir-Book"/>
          <w:sz w:val="22"/>
          <w:szCs w:val="22"/>
        </w:rPr>
      </w:pPr>
    </w:p>
    <w:p w14:paraId="3AE255FB" w14:textId="77777777" w:rsidR="007A198D" w:rsidRPr="007A198D" w:rsidRDefault="007A198D" w:rsidP="007A198D">
      <w:pPr>
        <w:widowControl w:val="0"/>
        <w:autoSpaceDE w:val="0"/>
        <w:autoSpaceDN w:val="0"/>
        <w:adjustRightInd w:val="0"/>
        <w:rPr>
          <w:rFonts w:asciiTheme="majorHAnsi" w:hAnsiTheme="majorHAnsi" w:cs="Avenir-Book"/>
          <w:sz w:val="22"/>
          <w:szCs w:val="22"/>
        </w:rPr>
      </w:pPr>
    </w:p>
    <w:p w14:paraId="2F7804F2" w14:textId="77777777" w:rsidR="00153280" w:rsidRPr="007A198D" w:rsidRDefault="00153280">
      <w:pPr>
        <w:rPr>
          <w:rFonts w:asciiTheme="majorHAnsi" w:hAnsiTheme="majorHAnsi"/>
          <w:sz w:val="22"/>
          <w:szCs w:val="22"/>
        </w:rPr>
      </w:pPr>
    </w:p>
    <w:sectPr w:rsidR="00153280" w:rsidRPr="007A198D" w:rsidSect="007A19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1B87" w14:textId="77777777" w:rsidR="007D551F" w:rsidRDefault="007D551F" w:rsidP="007D551F">
      <w:r>
        <w:separator/>
      </w:r>
    </w:p>
  </w:endnote>
  <w:endnote w:type="continuationSeparator" w:id="0">
    <w:p w14:paraId="26F51EA6" w14:textId="77777777" w:rsidR="007D551F" w:rsidRDefault="007D551F" w:rsidP="007D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venir-Book">
    <w:altName w:val="Avenir Boo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1E14" w14:textId="390D96C9" w:rsidR="007D551F" w:rsidRDefault="007D551F" w:rsidP="007D551F">
    <w:pPr>
      <w:pStyle w:val="Footer"/>
      <w:jc w:val="center"/>
      <w:rPr>
        <w:rStyle w:val="PageNumber"/>
        <w:rFonts w:asciiTheme="majorHAnsi" w:hAnsiTheme="majorHAnsi"/>
        <w:sz w:val="22"/>
        <w:szCs w:val="22"/>
      </w:rPr>
    </w:pPr>
    <w:r w:rsidRPr="007D551F">
      <w:rPr>
        <w:rFonts w:asciiTheme="majorHAnsi" w:hAnsiTheme="majorHAnsi"/>
        <w:sz w:val="22"/>
        <w:szCs w:val="22"/>
      </w:rPr>
      <w:t>_</w:t>
    </w:r>
    <w:r>
      <w:rPr>
        <w:rFonts w:asciiTheme="majorHAnsi" w:hAnsiTheme="majorHAnsi"/>
        <w:sz w:val="22"/>
        <w:szCs w:val="22"/>
      </w:rPr>
      <w:t>______________________________________________________________</w:t>
    </w:r>
    <w:r w:rsidR="007072CB">
      <w:rPr>
        <w:rFonts w:asciiTheme="majorHAnsi" w:hAnsiTheme="majorHAnsi"/>
        <w:sz w:val="22"/>
        <w:szCs w:val="22"/>
      </w:rPr>
      <w:t>_____________________</w:t>
    </w:r>
    <w:r w:rsidR="007072CB">
      <w:rPr>
        <w:rFonts w:asciiTheme="majorHAnsi" w:hAnsiTheme="majorHAnsi"/>
        <w:sz w:val="22"/>
        <w:szCs w:val="22"/>
      </w:rPr>
      <w:br/>
      <w:t xml:space="preserve"> </w:t>
    </w:r>
    <w:r w:rsidRPr="007D551F">
      <w:rPr>
        <w:rFonts w:asciiTheme="majorHAnsi" w:hAnsiTheme="majorHAnsi"/>
        <w:sz w:val="22"/>
        <w:szCs w:val="22"/>
      </w:rPr>
      <w:t>Validity</w:t>
    </w:r>
    <w:r w:rsidR="007072CB">
      <w:rPr>
        <w:rFonts w:asciiTheme="majorHAnsi" w:hAnsiTheme="majorHAnsi"/>
        <w:sz w:val="22"/>
        <w:szCs w:val="22"/>
      </w:rPr>
      <w:t xml:space="preserve"> Crosswalk</w:t>
    </w:r>
    <w:r w:rsidRPr="007D551F">
      <w:rPr>
        <w:rFonts w:asciiTheme="majorHAnsi" w:hAnsiTheme="majorHAnsi"/>
        <w:sz w:val="22"/>
        <w:szCs w:val="22"/>
      </w:rPr>
      <w:t xml:space="preserve">   </w:t>
    </w:r>
    <w:r>
      <w:rPr>
        <w:rFonts w:asciiTheme="majorHAnsi" w:hAnsiTheme="majorHAnsi"/>
        <w:sz w:val="22"/>
        <w:szCs w:val="22"/>
      </w:rPr>
      <w:t xml:space="preserve">    </w:t>
    </w:r>
    <w:r w:rsidRPr="007B1CBF">
      <w:rPr>
        <w:rFonts w:ascii="Wingdings" w:hAnsi="Wingdings"/>
        <w:color w:val="000000"/>
      </w:rPr>
      <w:t></w:t>
    </w:r>
    <w:r>
      <w:rPr>
        <w:rFonts w:asciiTheme="majorHAnsi" w:hAnsiTheme="majorHAnsi"/>
        <w:sz w:val="22"/>
        <w:szCs w:val="22"/>
      </w:rPr>
      <w:t xml:space="preserve">       </w:t>
    </w:r>
    <w:r w:rsidRPr="007D551F">
      <w:rPr>
        <w:rFonts w:asciiTheme="majorHAnsi" w:hAnsiTheme="majorHAnsi"/>
        <w:sz w:val="22"/>
        <w:szCs w:val="22"/>
      </w:rPr>
      <w:t xml:space="preserve">Page </w:t>
    </w:r>
    <w:r w:rsidRPr="007D551F">
      <w:rPr>
        <w:rStyle w:val="PageNumber"/>
        <w:rFonts w:asciiTheme="majorHAnsi" w:hAnsiTheme="majorHAnsi"/>
        <w:sz w:val="22"/>
        <w:szCs w:val="22"/>
      </w:rPr>
      <w:fldChar w:fldCharType="begin"/>
    </w:r>
    <w:r w:rsidRPr="007D551F">
      <w:rPr>
        <w:rStyle w:val="PageNumber"/>
        <w:rFonts w:asciiTheme="majorHAnsi" w:hAnsiTheme="majorHAnsi"/>
        <w:sz w:val="22"/>
        <w:szCs w:val="22"/>
      </w:rPr>
      <w:instrText xml:space="preserve"> PAGE </w:instrText>
    </w:r>
    <w:r w:rsidRPr="007D551F">
      <w:rPr>
        <w:rStyle w:val="PageNumber"/>
        <w:rFonts w:asciiTheme="majorHAnsi" w:hAnsiTheme="majorHAnsi"/>
        <w:sz w:val="22"/>
        <w:szCs w:val="22"/>
      </w:rPr>
      <w:fldChar w:fldCharType="separate"/>
    </w:r>
    <w:r w:rsidR="00714787">
      <w:rPr>
        <w:rStyle w:val="PageNumber"/>
        <w:rFonts w:asciiTheme="majorHAnsi" w:hAnsiTheme="majorHAnsi"/>
        <w:noProof/>
        <w:sz w:val="22"/>
        <w:szCs w:val="22"/>
      </w:rPr>
      <w:t>1</w:t>
    </w:r>
    <w:r w:rsidRPr="007D551F">
      <w:rPr>
        <w:rStyle w:val="PageNumber"/>
        <w:rFonts w:asciiTheme="majorHAnsi" w:hAnsiTheme="majorHAnsi"/>
        <w:sz w:val="22"/>
        <w:szCs w:val="22"/>
      </w:rPr>
      <w:fldChar w:fldCharType="end"/>
    </w:r>
  </w:p>
  <w:p w14:paraId="3B1C0839" w14:textId="77777777" w:rsidR="007D551F" w:rsidRPr="007D551F" w:rsidRDefault="007D551F" w:rsidP="007D551F">
    <w:pPr>
      <w:pStyle w:val="Footer"/>
      <w:jc w:val="cen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5CCBC" w14:textId="77777777" w:rsidR="007D551F" w:rsidRDefault="007D551F" w:rsidP="007D551F">
      <w:r>
        <w:separator/>
      </w:r>
    </w:p>
  </w:footnote>
  <w:footnote w:type="continuationSeparator" w:id="0">
    <w:p w14:paraId="1371FE28" w14:textId="77777777" w:rsidR="007D551F" w:rsidRDefault="007D551F" w:rsidP="007D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EC"/>
    <w:rsid w:val="00153280"/>
    <w:rsid w:val="002765F8"/>
    <w:rsid w:val="0029566E"/>
    <w:rsid w:val="00413FEC"/>
    <w:rsid w:val="006C6099"/>
    <w:rsid w:val="007072CB"/>
    <w:rsid w:val="00714787"/>
    <w:rsid w:val="007A198D"/>
    <w:rsid w:val="007D551F"/>
    <w:rsid w:val="008F09F7"/>
    <w:rsid w:val="009F0072"/>
    <w:rsid w:val="00F5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BF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98D"/>
    <w:rPr>
      <w:color w:val="0000FF" w:themeColor="hyperlink"/>
      <w:u w:val="single"/>
    </w:rPr>
  </w:style>
  <w:style w:type="character" w:styleId="FollowedHyperlink">
    <w:name w:val="FollowedHyperlink"/>
    <w:basedOn w:val="DefaultParagraphFont"/>
    <w:uiPriority w:val="99"/>
    <w:semiHidden/>
    <w:unhideWhenUsed/>
    <w:rsid w:val="007A198D"/>
    <w:rPr>
      <w:color w:val="800080" w:themeColor="followedHyperlink"/>
      <w:u w:val="single"/>
    </w:rPr>
  </w:style>
  <w:style w:type="paragraph" w:styleId="Header">
    <w:name w:val="header"/>
    <w:basedOn w:val="Normal"/>
    <w:link w:val="HeaderChar"/>
    <w:uiPriority w:val="99"/>
    <w:unhideWhenUsed/>
    <w:rsid w:val="007D551F"/>
    <w:pPr>
      <w:tabs>
        <w:tab w:val="center" w:pos="4320"/>
        <w:tab w:val="right" w:pos="8640"/>
      </w:tabs>
    </w:pPr>
  </w:style>
  <w:style w:type="character" w:customStyle="1" w:styleId="HeaderChar">
    <w:name w:val="Header Char"/>
    <w:basedOn w:val="DefaultParagraphFont"/>
    <w:link w:val="Header"/>
    <w:uiPriority w:val="99"/>
    <w:rsid w:val="007D551F"/>
  </w:style>
  <w:style w:type="paragraph" w:styleId="Footer">
    <w:name w:val="footer"/>
    <w:basedOn w:val="Normal"/>
    <w:link w:val="FooterChar"/>
    <w:uiPriority w:val="99"/>
    <w:unhideWhenUsed/>
    <w:rsid w:val="007D551F"/>
    <w:pPr>
      <w:tabs>
        <w:tab w:val="center" w:pos="4320"/>
        <w:tab w:val="right" w:pos="8640"/>
      </w:tabs>
    </w:pPr>
  </w:style>
  <w:style w:type="character" w:customStyle="1" w:styleId="FooterChar">
    <w:name w:val="Footer Char"/>
    <w:basedOn w:val="DefaultParagraphFont"/>
    <w:link w:val="Footer"/>
    <w:uiPriority w:val="99"/>
    <w:rsid w:val="007D551F"/>
  </w:style>
  <w:style w:type="character" w:styleId="PageNumber">
    <w:name w:val="page number"/>
    <w:basedOn w:val="DefaultParagraphFont"/>
    <w:uiPriority w:val="99"/>
    <w:semiHidden/>
    <w:unhideWhenUsed/>
    <w:rsid w:val="007D55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98D"/>
    <w:rPr>
      <w:color w:val="0000FF" w:themeColor="hyperlink"/>
      <w:u w:val="single"/>
    </w:rPr>
  </w:style>
  <w:style w:type="character" w:styleId="FollowedHyperlink">
    <w:name w:val="FollowedHyperlink"/>
    <w:basedOn w:val="DefaultParagraphFont"/>
    <w:uiPriority w:val="99"/>
    <w:semiHidden/>
    <w:unhideWhenUsed/>
    <w:rsid w:val="007A198D"/>
    <w:rPr>
      <w:color w:val="800080" w:themeColor="followedHyperlink"/>
      <w:u w:val="single"/>
    </w:rPr>
  </w:style>
  <w:style w:type="paragraph" w:styleId="Header">
    <w:name w:val="header"/>
    <w:basedOn w:val="Normal"/>
    <w:link w:val="HeaderChar"/>
    <w:uiPriority w:val="99"/>
    <w:unhideWhenUsed/>
    <w:rsid w:val="007D551F"/>
    <w:pPr>
      <w:tabs>
        <w:tab w:val="center" w:pos="4320"/>
        <w:tab w:val="right" w:pos="8640"/>
      </w:tabs>
    </w:pPr>
  </w:style>
  <w:style w:type="character" w:customStyle="1" w:styleId="HeaderChar">
    <w:name w:val="Header Char"/>
    <w:basedOn w:val="DefaultParagraphFont"/>
    <w:link w:val="Header"/>
    <w:uiPriority w:val="99"/>
    <w:rsid w:val="007D551F"/>
  </w:style>
  <w:style w:type="paragraph" w:styleId="Footer">
    <w:name w:val="footer"/>
    <w:basedOn w:val="Normal"/>
    <w:link w:val="FooterChar"/>
    <w:uiPriority w:val="99"/>
    <w:unhideWhenUsed/>
    <w:rsid w:val="007D551F"/>
    <w:pPr>
      <w:tabs>
        <w:tab w:val="center" w:pos="4320"/>
        <w:tab w:val="right" w:pos="8640"/>
      </w:tabs>
    </w:pPr>
  </w:style>
  <w:style w:type="character" w:customStyle="1" w:styleId="FooterChar">
    <w:name w:val="Footer Char"/>
    <w:basedOn w:val="DefaultParagraphFont"/>
    <w:link w:val="Footer"/>
    <w:uiPriority w:val="99"/>
    <w:rsid w:val="007D551F"/>
  </w:style>
  <w:style w:type="character" w:styleId="PageNumber">
    <w:name w:val="page number"/>
    <w:basedOn w:val="DefaultParagraphFont"/>
    <w:uiPriority w:val="99"/>
    <w:semiHidden/>
    <w:unhideWhenUsed/>
    <w:rsid w:val="007D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anielsongroup.org/download/?download=452"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5117</Characters>
  <Application>Microsoft Macintosh Word</Application>
  <DocSecurity>0</DocSecurity>
  <Lines>42</Lines>
  <Paragraphs>12</Paragraphs>
  <ScaleCrop>false</ScaleCrop>
  <Company>Dakota State University</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Wiedow</dc:creator>
  <cp:keywords/>
  <dc:description/>
  <cp:lastModifiedBy>Gale Wiedow</cp:lastModifiedBy>
  <cp:revision>2</cp:revision>
  <dcterms:created xsi:type="dcterms:W3CDTF">2015-12-08T17:28:00Z</dcterms:created>
  <dcterms:modified xsi:type="dcterms:W3CDTF">2015-12-08T17:28:00Z</dcterms:modified>
</cp:coreProperties>
</file>